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1A076B">
        <w:rPr>
          <w:rFonts w:cs="Arial"/>
          <w:sz w:val="20"/>
        </w:rPr>
        <w:t>10</w:t>
      </w:r>
      <w:r w:rsidR="00746EB3">
        <w:rPr>
          <w:rFonts w:cs="Arial"/>
          <w:sz w:val="20"/>
        </w:rPr>
        <w:t>1</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1F3866" w:rsidRPr="001F3866">
        <w:t>R4-2119532</w:t>
      </w:r>
    </w:p>
    <w:p w:rsidR="00675C27" w:rsidRPr="00444A16" w:rsidRDefault="00746EB3" w:rsidP="00F71A33">
      <w:pPr>
        <w:pStyle w:val="a1"/>
        <w:rPr>
          <w:rFonts w:eastAsia="宋体"/>
          <w:lang w:eastAsia="zh-CN"/>
        </w:rPr>
      </w:pPr>
      <w:r w:rsidRPr="00E80C8B">
        <w:rPr>
          <w:sz w:val="24"/>
          <w:szCs w:val="24"/>
          <w:lang w:eastAsia="zh-CN"/>
        </w:rPr>
        <w:t xml:space="preserve">Electronic Meeting, </w:t>
      </w:r>
      <w:r>
        <w:rPr>
          <w:sz w:val="24"/>
          <w:szCs w:val="24"/>
          <w:lang w:eastAsia="zh-CN"/>
        </w:rPr>
        <w:t>November 01</w:t>
      </w:r>
      <w:r w:rsidRPr="00E80C8B">
        <w:rPr>
          <w:sz w:val="24"/>
          <w:szCs w:val="24"/>
          <w:lang w:eastAsia="zh-CN"/>
        </w:rPr>
        <w:t>-</w:t>
      </w:r>
      <w:r>
        <w:rPr>
          <w:sz w:val="24"/>
          <w:szCs w:val="24"/>
          <w:lang w:eastAsia="zh-CN"/>
        </w:rPr>
        <w:t xml:space="preserve">12, </w:t>
      </w:r>
      <w:r w:rsidR="00A51781" w:rsidRPr="00A51781">
        <w:rPr>
          <w:rFonts w:eastAsia="宋体"/>
          <w:lang w:eastAsia="zh-CN"/>
        </w:rPr>
        <w:t>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5503C">
        <w:rPr>
          <w:rFonts w:ascii="Arial" w:hAnsi="Arial" w:cs="Arial"/>
          <w:sz w:val="22"/>
        </w:rPr>
        <w:t>O</w:t>
      </w:r>
      <w:r w:rsidR="0035503C" w:rsidRPr="0035503C">
        <w:rPr>
          <w:rFonts w:ascii="Arial" w:hAnsi="Arial" w:cs="Arial"/>
          <w:sz w:val="22"/>
        </w:rPr>
        <w:t>n power class capability for NR V2X</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F3866" w:rsidRPr="001F3866">
        <w:rPr>
          <w:rFonts w:ascii="Arial" w:hAnsi="Arial" w:cs="Arial"/>
          <w:sz w:val="22"/>
        </w:rPr>
        <w:t>8.15.5.1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AD34EE" w:rsidRDefault="001A076B" w:rsidP="009A089A">
      <w:r>
        <w:t>NR</w:t>
      </w:r>
      <w:r w:rsidR="00AD34EE">
        <w:t xml:space="preserve"> V2X power class capability </w:t>
      </w:r>
      <w:r w:rsidR="00473AC0">
        <w:t>has been discussed for several RAN4 meetings, but no consensus was reached yet</w:t>
      </w:r>
      <w:r>
        <w:t xml:space="preserve"> [1]</w:t>
      </w:r>
      <w:r w:rsidR="00AD34EE">
        <w:t xml:space="preserve">. </w:t>
      </w:r>
    </w:p>
    <w:p w:rsidR="009A089A" w:rsidRDefault="00473AC0" w:rsidP="009A089A">
      <w:r>
        <w:t>Besides the per band power class issue, the power class for intra-band con-current operation is also under discussion</w:t>
      </w:r>
      <w:r w:rsidR="00AD34EE">
        <w:t xml:space="preserve">. This contribution provides </w:t>
      </w:r>
      <w:r w:rsidR="001A076B">
        <w:t>our</w:t>
      </w:r>
      <w:r w:rsidR="00AD34EE">
        <w:t xml:space="preserve"> consideration on the issue.</w:t>
      </w:r>
      <w:r w:rsidR="005369EE">
        <w:t xml:space="preserve"> </w:t>
      </w:r>
    </w:p>
    <w:p w:rsidR="00062E8E" w:rsidRDefault="00062E8E" w:rsidP="00F23E96">
      <w:pPr>
        <w:pStyle w:val="Heading1"/>
        <w:spacing w:after="240"/>
        <w:rPr>
          <w:rFonts w:eastAsia="宋体"/>
          <w:lang w:eastAsia="zh-CN"/>
        </w:rPr>
      </w:pPr>
      <w:r>
        <w:rPr>
          <w:rFonts w:eastAsia="宋体" w:hint="eastAsia"/>
          <w:lang w:eastAsia="zh-CN"/>
        </w:rPr>
        <w:t>Discussion</w:t>
      </w:r>
    </w:p>
    <w:p w:rsidR="00473AC0" w:rsidRDefault="00473AC0" w:rsidP="00473AC0">
      <w:pPr>
        <w:pStyle w:val="Heading2"/>
        <w:spacing w:after="240"/>
        <w:rPr>
          <w:lang w:val="en-US"/>
        </w:rPr>
      </w:pPr>
      <w:r>
        <w:rPr>
          <w:lang w:val="en-US"/>
        </w:rPr>
        <w:t>Power class for LTE-V2X</w:t>
      </w:r>
    </w:p>
    <w:p w:rsidR="005369EE" w:rsidRDefault="00F678A9" w:rsidP="005369EE">
      <w:pPr>
        <w:rPr>
          <w:lang w:val="en-US" w:eastAsia="en-US"/>
        </w:rPr>
      </w:pPr>
      <w:r>
        <w:rPr>
          <w:lang w:val="en-US" w:eastAsia="en-US"/>
        </w:rPr>
        <w:t xml:space="preserve">As discussed in </w:t>
      </w:r>
      <w:r w:rsidR="001A076B">
        <w:rPr>
          <w:lang w:val="en-US" w:eastAsia="en-US"/>
        </w:rPr>
        <w:t>past meetings</w:t>
      </w:r>
      <w:r>
        <w:rPr>
          <w:lang w:val="en-US" w:eastAsia="en-US"/>
        </w:rPr>
        <w:t>, there is a specific SL parameter for LTE-V2X to report the PC2 power class capability in TS 36.306.</w:t>
      </w:r>
    </w:p>
    <w:tbl>
      <w:tblPr>
        <w:tblStyle w:val="TableGrid"/>
        <w:tblW w:w="0" w:type="auto"/>
        <w:tblLook w:val="04A0" w:firstRow="1" w:lastRow="0" w:firstColumn="1" w:lastColumn="0" w:noHBand="0" w:noVBand="1"/>
      </w:tblPr>
      <w:tblGrid>
        <w:gridCol w:w="9631"/>
      </w:tblGrid>
      <w:tr w:rsidR="00F678A9" w:rsidTr="00F678A9">
        <w:tc>
          <w:tcPr>
            <w:tcW w:w="9631" w:type="dxa"/>
          </w:tcPr>
          <w:p w:rsidR="00F678A9" w:rsidRPr="00796185" w:rsidRDefault="00F678A9" w:rsidP="00F678A9">
            <w:pPr>
              <w:pStyle w:val="Heading4"/>
              <w:numPr>
                <w:ilvl w:val="0"/>
                <w:numId w:val="0"/>
              </w:numPr>
              <w:outlineLvl w:val="3"/>
            </w:pPr>
            <w:r w:rsidRPr="00796185">
              <w:t>4.3.21.22</w:t>
            </w:r>
            <w:r w:rsidRPr="00796185">
              <w:tab/>
            </w:r>
            <w:r w:rsidRPr="00796185">
              <w:rPr>
                <w:i/>
              </w:rPr>
              <w:t>v2x-HighPower-r14</w:t>
            </w:r>
          </w:p>
          <w:p w:rsidR="00F678A9" w:rsidRDefault="00F678A9" w:rsidP="00F678A9">
            <w:pPr>
              <w:rPr>
                <w:lang w:val="en-US" w:eastAsia="en-US"/>
              </w:rPr>
            </w:pPr>
            <w:r w:rsidRPr="00796185">
              <w:t xml:space="preserve">This parameter indicates whether the UE supports maximum transmit power associated with Power class 2 V2X UE for V2X </w:t>
            </w:r>
            <w:proofErr w:type="spellStart"/>
            <w:r w:rsidRPr="00796185">
              <w:t>sidelink</w:t>
            </w:r>
            <w:proofErr w:type="spellEnd"/>
            <w:r w:rsidRPr="00796185">
              <w:t xml:space="preserve"> transmission in a band, see TS 36.101 [6].</w:t>
            </w:r>
          </w:p>
        </w:tc>
      </w:tr>
    </w:tbl>
    <w:p w:rsidR="00F678A9" w:rsidRDefault="00F678A9" w:rsidP="00F678A9">
      <w:pPr>
        <w:spacing w:before="120"/>
        <w:rPr>
          <w:lang w:val="en-US" w:eastAsia="en-US"/>
        </w:rPr>
      </w:pPr>
      <w:r>
        <w:rPr>
          <w:lang w:val="en-US" w:eastAsia="en-US"/>
        </w:rPr>
        <w:t xml:space="preserve">Though the capability is a SL parameter, </w:t>
      </w:r>
      <w:r w:rsidR="00A459A5">
        <w:rPr>
          <w:lang w:val="en-US" w:eastAsia="en-US"/>
        </w:rPr>
        <w:t xml:space="preserve">it is reported via </w:t>
      </w:r>
      <w:proofErr w:type="spellStart"/>
      <w:r w:rsidR="00A459A5">
        <w:rPr>
          <w:lang w:val="en-US" w:eastAsia="en-US"/>
        </w:rPr>
        <w:t>Uu</w:t>
      </w:r>
      <w:proofErr w:type="spellEnd"/>
      <w:r w:rsidR="00A459A5">
        <w:rPr>
          <w:lang w:val="en-US" w:eastAsia="en-US"/>
        </w:rPr>
        <w:t xml:space="preserve"> RRC messages to the network. </w:t>
      </w:r>
    </w:p>
    <w:p w:rsidR="00AD34EE" w:rsidRPr="004E1F03" w:rsidRDefault="00AD34EE" w:rsidP="00AD34EE">
      <w:pPr>
        <w:pStyle w:val="PL"/>
        <w:shd w:val="clear" w:color="auto" w:fill="E6E6E6"/>
      </w:pPr>
      <w:r w:rsidRPr="004E1F03">
        <w:t>BandParametersTxSL-r14 ::= SEQUENCE {</w:t>
      </w:r>
    </w:p>
    <w:p w:rsidR="00AD34EE" w:rsidRPr="004E1F03" w:rsidRDefault="00AD34EE" w:rsidP="00AD34EE">
      <w:pPr>
        <w:pStyle w:val="PL"/>
        <w:shd w:val="clear" w:color="auto" w:fill="E6E6E6"/>
      </w:pPr>
      <w:r w:rsidRPr="004E1F03">
        <w:tab/>
        <w:t>v2x-BandwidthClassTxSL-r14</w:t>
      </w:r>
      <w:r w:rsidRPr="004E1F03">
        <w:tab/>
      </w:r>
      <w:r w:rsidRPr="004E1F03">
        <w:tab/>
        <w:t>V2X-BandwidthClassSL-r14,</w:t>
      </w:r>
    </w:p>
    <w:p w:rsidR="00AD34EE" w:rsidRPr="004E1F03" w:rsidRDefault="00AD34EE" w:rsidP="00AD34EE">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rsidR="00AD34EE" w:rsidRPr="004E1F03" w:rsidRDefault="00AD34EE" w:rsidP="00AD34EE">
      <w:pPr>
        <w:pStyle w:val="PL"/>
        <w:shd w:val="clear" w:color="auto" w:fill="E6E6E6"/>
      </w:pPr>
      <w:r w:rsidRPr="004E1F03">
        <w:tab/>
      </w:r>
      <w:r w:rsidRPr="00AD34EE">
        <w:rPr>
          <w:highlight w:val="yellow"/>
        </w:rPr>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AD34EE" w:rsidRPr="004E1F03" w:rsidRDefault="00AD34EE" w:rsidP="00AD34EE">
      <w:pPr>
        <w:pStyle w:val="PL"/>
        <w:shd w:val="clear" w:color="auto" w:fill="E6E6E6"/>
      </w:pPr>
      <w:r w:rsidRPr="004E1F03">
        <w:t>}</w:t>
      </w:r>
    </w:p>
    <w:p w:rsidR="00A459A5" w:rsidRPr="00A459A5" w:rsidRDefault="00A459A5" w:rsidP="00A459A5">
      <w:pPr>
        <w:overflowPunct/>
        <w:autoSpaceDE/>
        <w:autoSpaceDN/>
        <w:adjustRightInd/>
        <w:spacing w:before="120" w:after="120"/>
        <w:textAlignment w:val="auto"/>
        <w:rPr>
          <w:b/>
          <w:i/>
          <w:lang w:val="en-US" w:eastAsia="en-US"/>
        </w:rPr>
      </w:pPr>
      <w:r w:rsidRPr="00A459A5">
        <w:rPr>
          <w:b/>
          <w:i/>
          <w:lang w:val="en-US" w:eastAsia="en-US"/>
        </w:rPr>
        <w:t xml:space="preserve">Observation 1: </w:t>
      </w:r>
      <w:r w:rsidR="00FA1170">
        <w:rPr>
          <w:b/>
          <w:i/>
          <w:lang w:val="en-US" w:eastAsia="en-US"/>
        </w:rPr>
        <w:t>Specific p</w:t>
      </w:r>
      <w:r>
        <w:rPr>
          <w:b/>
          <w:i/>
          <w:lang w:val="en-US" w:eastAsia="en-US"/>
        </w:rPr>
        <w:t xml:space="preserve">ower class 2 UE capability for LTE-V2X is reported via </w:t>
      </w:r>
      <w:proofErr w:type="spellStart"/>
      <w:r>
        <w:rPr>
          <w:b/>
          <w:i/>
          <w:lang w:val="en-US" w:eastAsia="en-US"/>
        </w:rPr>
        <w:t>Uu</w:t>
      </w:r>
      <w:proofErr w:type="spellEnd"/>
      <w:r>
        <w:rPr>
          <w:b/>
          <w:i/>
          <w:lang w:val="en-US" w:eastAsia="en-US"/>
        </w:rPr>
        <w:t xml:space="preserve"> RRC message.</w:t>
      </w:r>
    </w:p>
    <w:p w:rsidR="00473AC0" w:rsidRDefault="00473AC0" w:rsidP="00473AC0">
      <w:pPr>
        <w:pStyle w:val="Heading2"/>
        <w:spacing w:after="240"/>
        <w:rPr>
          <w:lang w:val="en-US"/>
        </w:rPr>
      </w:pPr>
      <w:r>
        <w:rPr>
          <w:lang w:val="en-US"/>
        </w:rPr>
        <w:t>Requirements related to power class</w:t>
      </w:r>
    </w:p>
    <w:p w:rsidR="00473AC0" w:rsidRDefault="00473AC0" w:rsidP="00473AC0">
      <w:pPr>
        <w:rPr>
          <w:lang w:val="en-US" w:eastAsia="en-US"/>
        </w:rPr>
      </w:pPr>
      <w:r>
        <w:rPr>
          <w:lang w:val="en-US" w:eastAsia="en-US"/>
        </w:rPr>
        <w:t xml:space="preserve">So far RAN4 have already defined PC3 requirements for NR-V2X in Rel-16, and PC2 requirements are almost finished. Though the PC2 requirements are specified in Rel-17, it is agreed in RAN4 that PC2 is a Rel-16 leftover issue. </w:t>
      </w:r>
    </w:p>
    <w:p w:rsidR="00473AC0" w:rsidRDefault="00473AC0" w:rsidP="00473AC0">
      <w:pPr>
        <w:rPr>
          <w:lang w:val="en-US" w:eastAsia="en-US"/>
        </w:rPr>
      </w:pPr>
      <w:r>
        <w:rPr>
          <w:lang w:val="en-US" w:eastAsia="en-US"/>
        </w:rPr>
        <w:t xml:space="preserve">Power class is an important parameter for specifying the requirements, e.g. </w:t>
      </w:r>
      <w:proofErr w:type="spellStart"/>
      <w:r>
        <w:rPr>
          <w:lang w:val="en-US" w:eastAsia="en-US"/>
        </w:rPr>
        <w:t>Pcmax</w:t>
      </w:r>
      <w:proofErr w:type="spellEnd"/>
      <w:r>
        <w:rPr>
          <w:lang w:val="en-US" w:eastAsia="en-US"/>
        </w:rPr>
        <w:t xml:space="preserve"> as cited below:</w:t>
      </w:r>
    </w:p>
    <w:tbl>
      <w:tblPr>
        <w:tblStyle w:val="TableGrid"/>
        <w:tblW w:w="0" w:type="auto"/>
        <w:tblLook w:val="04A0" w:firstRow="1" w:lastRow="0" w:firstColumn="1" w:lastColumn="0" w:noHBand="0" w:noVBand="1"/>
      </w:tblPr>
      <w:tblGrid>
        <w:gridCol w:w="9631"/>
      </w:tblGrid>
      <w:tr w:rsidR="00473AC0" w:rsidTr="00473AC0">
        <w:tc>
          <w:tcPr>
            <w:tcW w:w="9631" w:type="dxa"/>
          </w:tcPr>
          <w:p w:rsidR="00473AC0" w:rsidRPr="00A1115A" w:rsidRDefault="00473AC0" w:rsidP="00473AC0">
            <w:pPr>
              <w:rPr>
                <w:lang w:bidi="bn-IN"/>
              </w:rPr>
            </w:pPr>
            <w:r w:rsidRPr="00AF5673">
              <w:t xml:space="preserve">The NR </w:t>
            </w:r>
            <w:r w:rsidRPr="00AF5673">
              <w:rPr>
                <w:rFonts w:hint="eastAsia"/>
              </w:rPr>
              <w:t xml:space="preserve">V2X </w:t>
            </w:r>
            <w:r w:rsidRPr="00AF5673">
              <w:t>UE is allowed to set its configured maximum output power</w:t>
            </w:r>
            <w:r w:rsidRPr="00AF5673">
              <w:rPr>
                <w:lang w:bidi="bn-IN"/>
              </w:rPr>
              <w:t xml:space="preserve"> </w:t>
            </w:r>
            <w:proofErr w:type="spellStart"/>
            <w:r w:rsidRPr="00AF5673">
              <w:rPr>
                <w:lang w:bidi="bn-IN"/>
              </w:rPr>
              <w:t>P</w:t>
            </w:r>
            <w:r w:rsidRPr="00AF5673">
              <w:rPr>
                <w:vertAlign w:val="subscript"/>
                <w:lang w:bidi="bn-IN"/>
              </w:rPr>
              <w:t>CMAX</w:t>
            </w:r>
            <w:proofErr w:type="gramStart"/>
            <w:r>
              <w:rPr>
                <w:vertAlign w:val="subscript"/>
                <w:lang w:bidi="bn-IN"/>
              </w:rPr>
              <w:t>,f</w:t>
            </w:r>
            <w:r w:rsidRPr="00AF5673">
              <w:rPr>
                <w:rFonts w:cs="Vrinda"/>
                <w:vertAlign w:val="subscript"/>
                <w:lang w:bidi="bn-IN"/>
              </w:rPr>
              <w:t>,</w:t>
            </w:r>
            <w:r w:rsidRPr="00AF5673">
              <w:rPr>
                <w:rFonts w:cs="Vrinda"/>
                <w:i/>
                <w:vertAlign w:val="subscript"/>
                <w:lang w:bidi="bn-IN"/>
              </w:rPr>
              <w:t>c</w:t>
            </w:r>
            <w:proofErr w:type="spellEnd"/>
            <w:proofErr w:type="gram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r w:rsidRPr="00AF5673">
              <w:rPr>
                <w:lang w:bidi="bn-IN"/>
              </w:rPr>
              <w:t>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rsidR="00473AC0" w:rsidRDefault="00473AC0" w:rsidP="00473AC0">
            <w:pPr>
              <w:jc w:val="center"/>
              <w:rPr>
                <w:lang w:bidi="bn-IN"/>
              </w:rPr>
            </w:pPr>
            <w:proofErr w:type="spellStart"/>
            <w:r w:rsidRPr="00A1115A">
              <w:rPr>
                <w:lang w:bidi="bn-IN"/>
              </w:rPr>
              <w:t>P</w:t>
            </w:r>
            <w:r w:rsidRPr="00A1115A">
              <w:rPr>
                <w:vertAlign w:val="subscript"/>
                <w:lang w:bidi="bn-IN"/>
              </w:rPr>
              <w:t>CMAX_L,f,c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rsidR="00473AC0" w:rsidRPr="00AF5673" w:rsidRDefault="00473AC0" w:rsidP="00473AC0">
            <w:pPr>
              <w:pStyle w:val="EQ"/>
              <w:rPr>
                <w:lang w:bidi="bn-IN"/>
              </w:rPr>
            </w:pPr>
            <w:r w:rsidRPr="00AF5673">
              <w:rPr>
                <w:lang w:bidi="bn-IN"/>
              </w:rPr>
              <w:tab/>
              <w:t>P</w:t>
            </w:r>
            <w:r w:rsidRPr="00AF5673">
              <w:rPr>
                <w:vertAlign w:val="subscript"/>
                <w:lang w:bidi="bn-IN"/>
              </w:rPr>
              <w:t>CMAX_L</w:t>
            </w:r>
            <w:r w:rsidRPr="00AF5673">
              <w:rPr>
                <w:rFonts w:cs="Vrinda"/>
                <w:vertAlign w:val="subscript"/>
                <w:lang w:bidi="bn-IN"/>
              </w:rPr>
              <w:t>,</w:t>
            </w:r>
            <w:r>
              <w:rPr>
                <w:rFonts w:cs="Vrinda"/>
                <w:vertAlign w:val="subscript"/>
                <w:lang w:bidi="bn-IN"/>
              </w:rPr>
              <w:t xml:space="preserve">f, </w:t>
            </w:r>
            <w:r w:rsidRPr="00AF5673">
              <w:rPr>
                <w:rFonts w:cs="Vrinda"/>
                <w:i/>
                <w:vertAlign w:val="subscript"/>
                <w:lang w:bidi="bn-IN"/>
              </w:rPr>
              <w:t>c</w:t>
            </w:r>
            <w:r w:rsidRPr="00AF5673">
              <w:rPr>
                <w:lang w:bidi="bn-IN"/>
              </w:rPr>
              <w:t xml:space="preserve"> = MIN {P</w:t>
            </w:r>
            <w:r w:rsidRPr="00AF5673">
              <w:rPr>
                <w:vertAlign w:val="subscript"/>
                <w:lang w:bidi="bn-IN"/>
              </w:rPr>
              <w:t>EMAX</w:t>
            </w:r>
            <w:r w:rsidRPr="00AF5673">
              <w:rPr>
                <w:rFonts w:cs="Vrinda"/>
                <w:vertAlign w:val="subscript"/>
                <w:lang w:bidi="bn-IN"/>
              </w:rPr>
              <w:t>,</w:t>
            </w:r>
            <w:r w:rsidRPr="00AF5673">
              <w:rPr>
                <w:rFonts w:cs="Vrinda"/>
                <w:i/>
                <w:vertAlign w:val="subscript"/>
                <w:lang w:bidi="bn-IN"/>
              </w:rPr>
              <w:t>c</w:t>
            </w:r>
            <w:r w:rsidRPr="00AF5673">
              <w:rPr>
                <w:vertAlign w:val="subscript"/>
                <w:lang w:bidi="bn-IN"/>
              </w:rPr>
              <w:t xml:space="preserve"> </w:t>
            </w:r>
            <w:r w:rsidRPr="00AF5673">
              <w:rPr>
                <w:lang w:bidi="bn-IN"/>
              </w:rPr>
              <w:t xml:space="preserve">– </w:t>
            </w:r>
            <w:r w:rsidRPr="00AF5673">
              <w:rPr>
                <w:rFonts w:ascii="Symbol" w:hAnsi="Symbol"/>
                <w:lang w:bidi="bn-IN"/>
              </w:rPr>
              <w:t></w:t>
            </w:r>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r w:rsidRPr="00AF5673">
              <w:rPr>
                <w:lang w:bidi="bn-IN"/>
              </w:rPr>
              <w:t>,  P</w:t>
            </w:r>
            <w:r w:rsidRPr="00AF5673">
              <w:rPr>
                <w:vertAlign w:val="subscript"/>
                <w:lang w:bidi="bn-IN"/>
              </w:rPr>
              <w:t>PowerClass</w:t>
            </w:r>
            <w:r>
              <w:rPr>
                <w:lang w:bidi="bn-IN"/>
              </w:rPr>
              <w:t xml:space="preserve"> </w:t>
            </w:r>
            <w:r w:rsidRPr="00AF5673">
              <w:rPr>
                <w:lang w:bidi="bn-IN"/>
              </w:rPr>
              <w:t>–– MAX(</w:t>
            </w:r>
            <w:r>
              <w:rPr>
                <w:lang w:bidi="bn-IN"/>
              </w:rPr>
              <w:t>MAX(</w:t>
            </w:r>
            <w:r w:rsidRPr="00AF5673">
              <w:rPr>
                <w:lang w:bidi="bn-IN"/>
              </w:rPr>
              <w:t>MPR</w:t>
            </w:r>
            <w:r w:rsidRPr="00AF5673">
              <w:rPr>
                <w:rFonts w:cs="Vrinda"/>
                <w:i/>
                <w:vertAlign w:val="subscript"/>
                <w:lang w:bidi="bn-IN"/>
              </w:rPr>
              <w:t>c</w:t>
            </w:r>
            <w:r w:rsidRPr="00AF5673">
              <w:rPr>
                <w:lang w:bidi="bn-IN"/>
              </w:rPr>
              <w:t xml:space="preserve"> </w:t>
            </w:r>
            <w:r>
              <w:rPr>
                <w:lang w:bidi="bn-IN"/>
              </w:rPr>
              <w:t>,</w:t>
            </w:r>
            <w:r w:rsidRPr="00AF5673">
              <w:rPr>
                <w:lang w:bidi="bn-IN"/>
              </w:rPr>
              <w:t xml:space="preserve"> A-MPR</w:t>
            </w:r>
            <w:r w:rsidRPr="00AF5673">
              <w:rPr>
                <w:rFonts w:cs="Vrinda"/>
                <w:i/>
                <w:vertAlign w:val="subscript"/>
                <w:lang w:bidi="bn-IN"/>
              </w:rPr>
              <w:t>c</w:t>
            </w:r>
            <w:r>
              <w:rPr>
                <w:lang w:bidi="bn-IN"/>
              </w:rPr>
              <w:t>)</w:t>
            </w:r>
            <w:r w:rsidRPr="00AF5673">
              <w:rPr>
                <w:lang w:bidi="bn-IN"/>
              </w:rPr>
              <w:t>+</w:t>
            </w:r>
            <w:r w:rsidRPr="00AF5673">
              <w:t xml:space="preserve"> ΔT</w:t>
            </w:r>
            <w:r w:rsidRPr="00AF5673">
              <w:rPr>
                <w:vertAlign w:val="subscript"/>
              </w:rPr>
              <w:t>IB,c</w:t>
            </w:r>
            <w:r w:rsidRPr="00AF5673">
              <w:rPr>
                <w:lang w:bidi="bn-IN"/>
              </w:rPr>
              <w:t xml:space="preserve"> + </w:t>
            </w:r>
            <w:r w:rsidRPr="00AF5673">
              <w:rPr>
                <w:rFonts w:ascii="Symbol" w:hAnsi="Symbol"/>
                <w:lang w:bidi="bn-IN"/>
              </w:rPr>
              <w:t></w:t>
            </w:r>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w:t>
            </w:r>
            <w:r w:rsidRPr="00AF5673">
              <w:rPr>
                <w:lang w:bidi="bn-IN"/>
              </w:rPr>
              <w:t>, P-MPR</w:t>
            </w:r>
            <w:r w:rsidRPr="00AF5673">
              <w:rPr>
                <w:rFonts w:cs="Vrinda"/>
                <w:i/>
                <w:vertAlign w:val="subscript"/>
                <w:lang w:bidi="bn-IN"/>
              </w:rPr>
              <w:t>c</w:t>
            </w:r>
            <w:r w:rsidRPr="00AF5673">
              <w:rPr>
                <w:lang w:bidi="bn-IN"/>
              </w:rPr>
              <w:t>)</w:t>
            </w:r>
            <w:r w:rsidRPr="00AF5673">
              <w:rPr>
                <w:rFonts w:hint="eastAsia"/>
                <w:lang w:bidi="bn-IN"/>
              </w:rPr>
              <w:t xml:space="preserve">, </w:t>
            </w:r>
            <w:r w:rsidRPr="00AF5673">
              <w:rPr>
                <w:lang w:bidi="bn-IN"/>
              </w:rPr>
              <w:t>P</w:t>
            </w:r>
            <w:r w:rsidRPr="00AF5673">
              <w:rPr>
                <w:rFonts w:hint="eastAsia"/>
                <w:vertAlign w:val="subscript"/>
                <w:lang w:bidi="bn-IN"/>
              </w:rPr>
              <w:t>Regulatory,c</w:t>
            </w:r>
            <w:r w:rsidRPr="00AF5673">
              <w:rPr>
                <w:lang w:bidi="bn-IN"/>
              </w:rPr>
              <w:t xml:space="preserve"> }</w:t>
            </w:r>
          </w:p>
          <w:p w:rsidR="00473AC0" w:rsidRPr="00473AC0" w:rsidRDefault="00473AC0" w:rsidP="00473AC0">
            <w:pPr>
              <w:pStyle w:val="EQ"/>
              <w:ind w:firstLineChars="50" w:firstLine="100"/>
              <w:rPr>
                <w:noProof w:val="0"/>
                <w:lang w:bidi="bn-IN"/>
              </w:rPr>
            </w:pPr>
            <w:proofErr w:type="spellStart"/>
            <w:r w:rsidRPr="00AF5673">
              <w:rPr>
                <w:noProof w:val="0"/>
                <w:lang w:bidi="bn-IN"/>
              </w:rPr>
              <w:t>P</w:t>
            </w:r>
            <w:r w:rsidRPr="00AF5673">
              <w:rPr>
                <w:noProof w:val="0"/>
                <w:vertAlign w:val="subscript"/>
                <w:lang w:bidi="bn-IN"/>
              </w:rPr>
              <w:t>CMAX_H</w:t>
            </w:r>
            <w:r w:rsidRPr="00AF5673">
              <w:rPr>
                <w:rFonts w:cs="Vrinda"/>
                <w:noProof w:val="0"/>
                <w:vertAlign w:val="subscript"/>
                <w:lang w:bidi="bn-IN"/>
              </w:rPr>
              <w:t>,</w:t>
            </w:r>
            <w:r>
              <w:rPr>
                <w:rFonts w:cs="Vrinda"/>
                <w:noProof w:val="0"/>
                <w:vertAlign w:val="subscript"/>
                <w:lang w:bidi="bn-IN"/>
              </w:rPr>
              <w:t>f</w:t>
            </w:r>
            <w:proofErr w:type="spell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proofErr w:type="spellStart"/>
            <w:r w:rsidRPr="00AF5673">
              <w:rPr>
                <w:noProof w:val="0"/>
                <w:lang w:bidi="bn-IN"/>
              </w:rPr>
              <w:t>P</w:t>
            </w:r>
            <w:r w:rsidRPr="00AF5673">
              <w:rPr>
                <w:noProof w:val="0"/>
                <w:vertAlign w:val="subscript"/>
                <w:lang w:bidi="bn-IN"/>
              </w:rPr>
              <w:t>PowerClass</w:t>
            </w:r>
            <w:proofErr w:type="spellEnd"/>
            <w:r w:rsidRPr="00AF5673">
              <w:rPr>
                <w:rFonts w:hint="eastAsia"/>
                <w:noProof w:val="0"/>
                <w:lang w:bidi="bn-IN"/>
              </w:rPr>
              <w:t xml:space="preserve">,  </w:t>
            </w:r>
            <w:proofErr w:type="spellStart"/>
            <w:r w:rsidRPr="00AF5673">
              <w:rPr>
                <w:noProof w:val="0"/>
                <w:lang w:bidi="bn-IN"/>
              </w:rPr>
              <w:t>P</w:t>
            </w:r>
            <w:r w:rsidRPr="00AF5673">
              <w:rPr>
                <w:rFonts w:hint="eastAsia"/>
                <w:noProof w:val="0"/>
                <w:vertAlign w:val="subscript"/>
                <w:lang w:bidi="bn-IN"/>
              </w:rPr>
              <w:t>Regulatory</w:t>
            </w:r>
            <w:proofErr w:type="spellEnd"/>
            <w:r w:rsidRPr="00AF5673">
              <w:rPr>
                <w:noProof w:val="0"/>
                <w:lang w:bidi="bn-IN"/>
              </w:rPr>
              <w:t xml:space="preserve"> }</w:t>
            </w:r>
          </w:p>
        </w:tc>
      </w:tr>
    </w:tbl>
    <w:p w:rsidR="00473AC0" w:rsidRDefault="00473AC0" w:rsidP="00473AC0">
      <w:pPr>
        <w:rPr>
          <w:lang w:val="en-US" w:eastAsia="en-US"/>
        </w:rPr>
      </w:pPr>
    </w:p>
    <w:p w:rsidR="00473AC0" w:rsidRDefault="00460648" w:rsidP="00473AC0">
      <w:pPr>
        <w:rPr>
          <w:lang w:val="en-US" w:eastAsia="en-US"/>
        </w:rPr>
      </w:pPr>
      <w:r>
        <w:rPr>
          <w:lang w:val="en-US" w:eastAsia="en-US"/>
        </w:rPr>
        <w:lastRenderedPageBreak/>
        <w:t xml:space="preserve">Power </w:t>
      </w:r>
      <w:proofErr w:type="spellStart"/>
      <w:r>
        <w:rPr>
          <w:lang w:val="en-US" w:eastAsia="en-US"/>
        </w:rPr>
        <w:t>backoff</w:t>
      </w:r>
      <w:proofErr w:type="spellEnd"/>
      <w:r>
        <w:rPr>
          <w:lang w:val="en-US" w:eastAsia="en-US"/>
        </w:rPr>
        <w:t xml:space="preserve"> is relativ</w:t>
      </w:r>
      <w:r w:rsidR="00AE0993">
        <w:rPr>
          <w:lang w:val="en-US" w:eastAsia="en-US"/>
        </w:rPr>
        <w:t xml:space="preserve">e to a certain power limit, herein, the power class is utilized. Even though we already use the power class in the specification for NR-V2X, it’s not clear whether the per band based power class capability for </w:t>
      </w:r>
      <w:proofErr w:type="spellStart"/>
      <w:r w:rsidR="00AE0993">
        <w:rPr>
          <w:lang w:val="en-US" w:eastAsia="en-US"/>
        </w:rPr>
        <w:t>Uu</w:t>
      </w:r>
      <w:proofErr w:type="spellEnd"/>
      <w:r w:rsidR="00AE0993">
        <w:rPr>
          <w:lang w:val="en-US" w:eastAsia="en-US"/>
        </w:rPr>
        <w:t xml:space="preserve"> can be reused for NR-V2X. </w:t>
      </w:r>
    </w:p>
    <w:p w:rsidR="00AE0993" w:rsidRPr="00A459A5" w:rsidRDefault="00AE0993" w:rsidP="00AE0993">
      <w:pPr>
        <w:overflowPunct/>
        <w:autoSpaceDE/>
        <w:autoSpaceDN/>
        <w:adjustRightInd/>
        <w:spacing w:after="120"/>
        <w:textAlignment w:val="auto"/>
        <w:rPr>
          <w:b/>
          <w:i/>
          <w:lang w:val="en-US" w:eastAsia="en-US"/>
        </w:rPr>
      </w:pPr>
      <w:r w:rsidRPr="00A459A5">
        <w:rPr>
          <w:b/>
          <w:i/>
          <w:lang w:val="en-US" w:eastAsia="en-US"/>
        </w:rPr>
        <w:t xml:space="preserve">Observation 1: </w:t>
      </w:r>
      <w:r>
        <w:rPr>
          <w:b/>
          <w:i/>
          <w:lang w:val="en-US" w:eastAsia="en-US"/>
        </w:rPr>
        <w:t xml:space="preserve">Power classes have been used for specifying requirements for NR-V2X from Rel-16, but it’s not clear whether the same power class capability for </w:t>
      </w:r>
      <w:proofErr w:type="spellStart"/>
      <w:r>
        <w:rPr>
          <w:b/>
          <w:i/>
          <w:lang w:val="en-US" w:eastAsia="en-US"/>
        </w:rPr>
        <w:t>Uu</w:t>
      </w:r>
      <w:proofErr w:type="spellEnd"/>
      <w:r>
        <w:rPr>
          <w:b/>
          <w:i/>
          <w:lang w:val="en-US" w:eastAsia="en-US"/>
        </w:rPr>
        <w:t xml:space="preserve"> is used for NR-V2X.</w:t>
      </w:r>
    </w:p>
    <w:p w:rsidR="00AE0993" w:rsidRDefault="00AE0993" w:rsidP="00473AC0">
      <w:pPr>
        <w:rPr>
          <w:lang w:val="en-US" w:eastAsia="en-US"/>
        </w:rPr>
      </w:pPr>
      <w:r>
        <w:rPr>
          <w:lang w:val="en-US" w:eastAsia="en-US"/>
        </w:rPr>
        <w:t xml:space="preserve">In most cases, reusing the existing power class for </w:t>
      </w:r>
      <w:proofErr w:type="spellStart"/>
      <w:r>
        <w:rPr>
          <w:lang w:val="en-US" w:eastAsia="en-US"/>
        </w:rPr>
        <w:t>Uu</w:t>
      </w:r>
      <w:proofErr w:type="spellEnd"/>
      <w:r>
        <w:rPr>
          <w:lang w:val="en-US" w:eastAsia="en-US"/>
        </w:rPr>
        <w:t xml:space="preserve"> is possible for NR-V2X. But we noticed that RAN4 had an agreement that the UE architecture assumption for FDM operation is with separate RF chains, which provides the possibility that output power for </w:t>
      </w:r>
      <w:proofErr w:type="spellStart"/>
      <w:r>
        <w:rPr>
          <w:lang w:val="en-US" w:eastAsia="en-US"/>
        </w:rPr>
        <w:t>Uu</w:t>
      </w:r>
      <w:proofErr w:type="spellEnd"/>
      <w:r>
        <w:rPr>
          <w:lang w:val="en-US" w:eastAsia="en-US"/>
        </w:rPr>
        <w:t xml:space="preserve"> and SL could be different. In this case, different power class would be needed. </w:t>
      </w:r>
    </w:p>
    <w:p w:rsidR="00AE0993" w:rsidRPr="00A459A5" w:rsidRDefault="00AE0993" w:rsidP="00AE0993">
      <w:pPr>
        <w:overflowPunct/>
        <w:autoSpaceDE/>
        <w:autoSpaceDN/>
        <w:adjustRightInd/>
        <w:spacing w:after="120"/>
        <w:textAlignment w:val="auto"/>
        <w:rPr>
          <w:b/>
          <w:i/>
          <w:lang w:val="en-US" w:eastAsia="en-US"/>
        </w:rPr>
      </w:pPr>
      <w:r w:rsidRPr="00A459A5">
        <w:rPr>
          <w:b/>
          <w:i/>
          <w:lang w:val="en-US" w:eastAsia="en-US"/>
        </w:rPr>
        <w:t xml:space="preserve">Observation </w:t>
      </w:r>
      <w:r>
        <w:rPr>
          <w:b/>
          <w:i/>
          <w:lang w:val="en-US" w:eastAsia="en-US"/>
        </w:rPr>
        <w:t>2</w:t>
      </w:r>
      <w:r w:rsidRPr="00A459A5">
        <w:rPr>
          <w:b/>
          <w:i/>
          <w:lang w:val="en-US" w:eastAsia="en-US"/>
        </w:rPr>
        <w:t xml:space="preserve">: </w:t>
      </w:r>
      <w:r>
        <w:rPr>
          <w:b/>
          <w:i/>
          <w:lang w:val="en-US" w:eastAsia="en-US"/>
        </w:rPr>
        <w:t xml:space="preserve">It is observed that based on the UE architecture assumed for intra-band con-current operation, the per band output power capability for </w:t>
      </w:r>
      <w:proofErr w:type="spellStart"/>
      <w:r>
        <w:rPr>
          <w:b/>
          <w:i/>
          <w:lang w:val="en-US" w:eastAsia="en-US"/>
        </w:rPr>
        <w:t>Uu</w:t>
      </w:r>
      <w:proofErr w:type="spellEnd"/>
      <w:r>
        <w:rPr>
          <w:b/>
          <w:i/>
          <w:lang w:val="en-US" w:eastAsia="en-US"/>
        </w:rPr>
        <w:t xml:space="preserve"> and SL could be different as they could use different RF chains.</w:t>
      </w:r>
    </w:p>
    <w:p w:rsidR="00AE0993" w:rsidRDefault="00AE0993" w:rsidP="00473AC0">
      <w:pPr>
        <w:rPr>
          <w:lang w:val="en-US" w:eastAsia="en-US"/>
        </w:rPr>
      </w:pPr>
      <w:r>
        <w:rPr>
          <w:lang w:val="en-US" w:eastAsia="en-US"/>
        </w:rPr>
        <w:t xml:space="preserve">Regarding the power class for intra-band con-current operation, as analyzed in [2], we think that new power class is needed, which should be per band combination defined. Otherwise, there would be no reference point for the power </w:t>
      </w:r>
      <w:proofErr w:type="spellStart"/>
      <w:r>
        <w:rPr>
          <w:lang w:val="en-US" w:eastAsia="en-US"/>
        </w:rPr>
        <w:t>backoff</w:t>
      </w:r>
      <w:proofErr w:type="spellEnd"/>
      <w:r>
        <w:rPr>
          <w:lang w:val="en-US" w:eastAsia="en-US"/>
        </w:rPr>
        <w:t xml:space="preserve"> for simultaneous UL and SL transmission. </w:t>
      </w:r>
    </w:p>
    <w:p w:rsidR="00AE0993" w:rsidRPr="00473AC0" w:rsidRDefault="00AE0993" w:rsidP="00473AC0">
      <w:pPr>
        <w:rPr>
          <w:lang w:val="en-US" w:eastAsia="en-US"/>
        </w:rPr>
      </w:pPr>
      <w:r w:rsidRPr="00A459A5">
        <w:rPr>
          <w:b/>
          <w:i/>
          <w:lang w:val="en-US" w:eastAsia="en-US"/>
        </w:rPr>
        <w:t xml:space="preserve">Observation </w:t>
      </w:r>
      <w:r>
        <w:rPr>
          <w:b/>
          <w:i/>
          <w:lang w:val="en-US" w:eastAsia="en-US"/>
        </w:rPr>
        <w:t>3</w:t>
      </w:r>
      <w:r w:rsidRPr="00A459A5">
        <w:rPr>
          <w:b/>
          <w:i/>
          <w:lang w:val="en-US" w:eastAsia="en-US"/>
        </w:rPr>
        <w:t>:</w:t>
      </w:r>
      <w:r>
        <w:rPr>
          <w:b/>
          <w:i/>
          <w:lang w:val="en-US" w:eastAsia="en-US"/>
        </w:rPr>
        <w:t xml:space="preserve"> </w:t>
      </w:r>
      <w:r w:rsidR="00555BE6">
        <w:rPr>
          <w:b/>
          <w:i/>
          <w:lang w:val="en-US" w:eastAsia="en-US"/>
        </w:rPr>
        <w:t xml:space="preserve">To comply with the corresponding requirements using power </w:t>
      </w:r>
      <w:proofErr w:type="spellStart"/>
      <w:r w:rsidR="00555BE6">
        <w:rPr>
          <w:b/>
          <w:i/>
          <w:lang w:val="en-US" w:eastAsia="en-US"/>
        </w:rPr>
        <w:t>backoff</w:t>
      </w:r>
      <w:proofErr w:type="spellEnd"/>
      <w:r w:rsidR="00555BE6">
        <w:rPr>
          <w:b/>
          <w:i/>
          <w:lang w:val="en-US" w:eastAsia="en-US"/>
        </w:rPr>
        <w:t>, per band combination based power class for intra-band con-current operation is needed</w:t>
      </w:r>
      <w:r>
        <w:rPr>
          <w:b/>
          <w:i/>
          <w:lang w:val="en-US" w:eastAsia="en-US"/>
        </w:rPr>
        <w:t>.</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F668EB">
        <w:t>our consideration on power class capability for NR-V2X. We have the following observations and proposals.</w:t>
      </w:r>
    </w:p>
    <w:p w:rsidR="00555BE6" w:rsidRDefault="00555BE6" w:rsidP="00555BE6">
      <w:pPr>
        <w:overflowPunct/>
        <w:autoSpaceDE/>
        <w:autoSpaceDN/>
        <w:adjustRightInd/>
        <w:spacing w:after="120"/>
        <w:textAlignment w:val="auto"/>
        <w:rPr>
          <w:b/>
          <w:i/>
          <w:lang w:val="en-US" w:eastAsia="en-US"/>
        </w:rPr>
      </w:pPr>
      <w:r w:rsidRPr="00A459A5">
        <w:rPr>
          <w:b/>
          <w:i/>
          <w:lang w:val="en-US" w:eastAsia="en-US"/>
        </w:rPr>
        <w:t xml:space="preserve">Observation 1: </w:t>
      </w:r>
      <w:r>
        <w:rPr>
          <w:b/>
          <w:i/>
          <w:lang w:val="en-US" w:eastAsia="en-US"/>
        </w:rPr>
        <w:t xml:space="preserve">Power classes have been used for specifying requirements for NR-V2X from Rel-16, but it’s not clear whether the same power class capability for </w:t>
      </w:r>
      <w:proofErr w:type="spellStart"/>
      <w:r>
        <w:rPr>
          <w:b/>
          <w:i/>
          <w:lang w:val="en-US" w:eastAsia="en-US"/>
        </w:rPr>
        <w:t>Uu</w:t>
      </w:r>
      <w:proofErr w:type="spellEnd"/>
      <w:r>
        <w:rPr>
          <w:b/>
          <w:i/>
          <w:lang w:val="en-US" w:eastAsia="en-US"/>
        </w:rPr>
        <w:t xml:space="preserve"> is used for NR-V2X.</w:t>
      </w:r>
    </w:p>
    <w:p w:rsidR="00555BE6" w:rsidRPr="00A459A5" w:rsidRDefault="00555BE6" w:rsidP="00555BE6">
      <w:pPr>
        <w:overflowPunct/>
        <w:autoSpaceDE/>
        <w:autoSpaceDN/>
        <w:adjustRightInd/>
        <w:spacing w:after="120"/>
        <w:textAlignment w:val="auto"/>
        <w:rPr>
          <w:b/>
          <w:i/>
          <w:lang w:val="en-US" w:eastAsia="en-US"/>
        </w:rPr>
      </w:pPr>
      <w:r w:rsidRPr="00A459A5">
        <w:rPr>
          <w:b/>
          <w:i/>
          <w:lang w:val="en-US" w:eastAsia="en-US"/>
        </w:rPr>
        <w:t xml:space="preserve">Observation </w:t>
      </w:r>
      <w:r>
        <w:rPr>
          <w:b/>
          <w:i/>
          <w:lang w:val="en-US" w:eastAsia="en-US"/>
        </w:rPr>
        <w:t>2</w:t>
      </w:r>
      <w:r w:rsidRPr="00A459A5">
        <w:rPr>
          <w:b/>
          <w:i/>
          <w:lang w:val="en-US" w:eastAsia="en-US"/>
        </w:rPr>
        <w:t xml:space="preserve">: </w:t>
      </w:r>
      <w:r>
        <w:rPr>
          <w:b/>
          <w:i/>
          <w:lang w:val="en-US" w:eastAsia="en-US"/>
        </w:rPr>
        <w:t xml:space="preserve">It is observed that based on the UE architecture assumed for intra-band con-current operation, the per band output power capability for </w:t>
      </w:r>
      <w:proofErr w:type="spellStart"/>
      <w:r>
        <w:rPr>
          <w:b/>
          <w:i/>
          <w:lang w:val="en-US" w:eastAsia="en-US"/>
        </w:rPr>
        <w:t>Uu</w:t>
      </w:r>
      <w:proofErr w:type="spellEnd"/>
      <w:r>
        <w:rPr>
          <w:b/>
          <w:i/>
          <w:lang w:val="en-US" w:eastAsia="en-US"/>
        </w:rPr>
        <w:t xml:space="preserve"> and SL could be different as they could use different RF chains.</w:t>
      </w:r>
    </w:p>
    <w:p w:rsidR="00555BE6" w:rsidRPr="00473AC0" w:rsidRDefault="00555BE6" w:rsidP="00555BE6">
      <w:pPr>
        <w:rPr>
          <w:lang w:val="en-US" w:eastAsia="en-US"/>
        </w:rPr>
      </w:pPr>
      <w:r w:rsidRPr="00A459A5">
        <w:rPr>
          <w:b/>
          <w:i/>
          <w:lang w:val="en-US" w:eastAsia="en-US"/>
        </w:rPr>
        <w:t xml:space="preserve">Observation </w:t>
      </w:r>
      <w:r>
        <w:rPr>
          <w:b/>
          <w:i/>
          <w:lang w:val="en-US" w:eastAsia="en-US"/>
        </w:rPr>
        <w:t>3</w:t>
      </w:r>
      <w:r w:rsidRPr="00A459A5">
        <w:rPr>
          <w:b/>
          <w:i/>
          <w:lang w:val="en-US" w:eastAsia="en-US"/>
        </w:rPr>
        <w:t>:</w:t>
      </w:r>
      <w:r>
        <w:rPr>
          <w:b/>
          <w:i/>
          <w:lang w:val="en-US" w:eastAsia="en-US"/>
        </w:rPr>
        <w:t xml:space="preserve"> To comply with the corresponding requirements using power </w:t>
      </w:r>
      <w:proofErr w:type="spellStart"/>
      <w:r>
        <w:rPr>
          <w:b/>
          <w:i/>
          <w:lang w:val="en-US" w:eastAsia="en-US"/>
        </w:rPr>
        <w:t>backoff</w:t>
      </w:r>
      <w:proofErr w:type="spellEnd"/>
      <w:r>
        <w:rPr>
          <w:b/>
          <w:i/>
          <w:lang w:val="en-US" w:eastAsia="en-US"/>
        </w:rPr>
        <w:t>, per band combination based power class for intra-band con-current operation is needed.</w:t>
      </w:r>
    </w:p>
    <w:p w:rsidR="00F668EB" w:rsidRDefault="00F668EB" w:rsidP="00F668EB">
      <w:pPr>
        <w:overflowPunct/>
        <w:autoSpaceDE/>
        <w:autoSpaceDN/>
        <w:adjustRightInd/>
        <w:spacing w:after="120"/>
        <w:textAlignment w:val="auto"/>
        <w:rPr>
          <w:b/>
          <w:i/>
          <w:lang w:val="en-US" w:eastAsia="en-US"/>
        </w:rPr>
      </w:pPr>
      <w:r w:rsidRPr="00422520">
        <w:rPr>
          <w:b/>
          <w:i/>
          <w:lang w:val="en-US" w:eastAsia="en-US"/>
        </w:rPr>
        <w:t xml:space="preserve">Proposal 1: Specific </w:t>
      </w:r>
      <w:r w:rsidR="00555BE6">
        <w:rPr>
          <w:b/>
          <w:i/>
          <w:lang w:val="en-US" w:eastAsia="en-US"/>
        </w:rPr>
        <w:t xml:space="preserve">per band </w:t>
      </w:r>
      <w:r w:rsidRPr="00422520">
        <w:rPr>
          <w:b/>
          <w:i/>
          <w:lang w:val="en-US" w:eastAsia="en-US"/>
        </w:rPr>
        <w:t xml:space="preserve">power class </w:t>
      </w:r>
      <w:r w:rsidR="00555BE6">
        <w:rPr>
          <w:b/>
          <w:i/>
          <w:lang w:val="en-US" w:eastAsia="en-US"/>
        </w:rPr>
        <w:t xml:space="preserve">and per band combination power class </w:t>
      </w:r>
      <w:r w:rsidRPr="00422520">
        <w:rPr>
          <w:b/>
          <w:i/>
          <w:lang w:val="en-US" w:eastAsia="en-US"/>
        </w:rPr>
        <w:t>for NR V2X needs</w:t>
      </w:r>
      <w:r>
        <w:rPr>
          <w:b/>
          <w:i/>
          <w:lang w:val="en-US" w:eastAsia="en-US"/>
        </w:rPr>
        <w:t xml:space="preserve"> to be defined.</w:t>
      </w:r>
    </w:p>
    <w:p w:rsidR="00555BE6" w:rsidRDefault="00555BE6" w:rsidP="00F668EB">
      <w:pPr>
        <w:overflowPunct/>
        <w:autoSpaceDE/>
        <w:autoSpaceDN/>
        <w:adjustRightInd/>
        <w:spacing w:after="120"/>
        <w:textAlignment w:val="auto"/>
        <w:rPr>
          <w:b/>
          <w:i/>
          <w:lang w:val="en-US" w:eastAsia="en-US"/>
        </w:rPr>
      </w:pPr>
      <w:r>
        <w:rPr>
          <w:b/>
          <w:i/>
          <w:lang w:val="en-US" w:eastAsia="en-US"/>
        </w:rPr>
        <w:t>Proposal 2: It is proposed to send LS to RAN2 for the agreements in RAN4 on power classes for NR V2X.</w:t>
      </w:r>
    </w:p>
    <w:p w:rsidR="00E8001B" w:rsidRPr="00E8001B" w:rsidRDefault="00E8001B" w:rsidP="00F668EB">
      <w:pPr>
        <w:overflowPunct/>
        <w:autoSpaceDE/>
        <w:autoSpaceDN/>
        <w:adjustRightInd/>
        <w:spacing w:after="120"/>
        <w:textAlignment w:val="auto"/>
        <w:rPr>
          <w:lang w:val="en-US" w:eastAsia="en-US"/>
        </w:rPr>
      </w:pPr>
      <w:r>
        <w:rPr>
          <w:lang w:val="en-US" w:eastAsia="en-US"/>
        </w:rPr>
        <w:t>A draft LS is provided in [</w:t>
      </w:r>
      <w:r w:rsidR="00846ABD">
        <w:rPr>
          <w:lang w:val="en-US" w:eastAsia="en-US"/>
        </w:rPr>
        <w:t>3</w:t>
      </w:r>
      <w:r>
        <w:rPr>
          <w:lang w:val="en-US" w:eastAsia="en-US"/>
        </w:rPr>
        <w:t>].</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AB7A7F" w:rsidRPr="00AB7A7F">
        <w:t>R4-2115036</w:t>
      </w:r>
      <w:r w:rsidR="00AD34EE">
        <w:t>,</w:t>
      </w:r>
      <w:r w:rsidR="00AD34EE" w:rsidRPr="00AD34EE">
        <w:t xml:space="preserve"> </w:t>
      </w:r>
      <w:r w:rsidR="00AB7A7F" w:rsidRPr="00AB7A7F">
        <w:t>Email discussion summary for [100-e</w:t>
      </w:r>
      <w:proofErr w:type="gramStart"/>
      <w:r w:rsidR="00AB7A7F" w:rsidRPr="00AB7A7F">
        <w:t>][</w:t>
      </w:r>
      <w:proofErr w:type="gramEnd"/>
      <w:r w:rsidR="00AB7A7F" w:rsidRPr="00AB7A7F">
        <w:t>136] NRSL_enh_Part_3</w:t>
      </w:r>
      <w:r w:rsidR="001A076B">
        <w:t xml:space="preserve">, Huawei, </w:t>
      </w:r>
      <w:proofErr w:type="spellStart"/>
      <w:r w:rsidR="001A076B">
        <w:t>HiSiliocn</w:t>
      </w:r>
      <w:proofErr w:type="spellEnd"/>
    </w:p>
    <w:p w:rsidR="00AE0993" w:rsidRDefault="00AE0993" w:rsidP="00F71A33">
      <w:r>
        <w:t xml:space="preserve">[2] </w:t>
      </w:r>
      <w:r w:rsidR="001F3866" w:rsidRPr="001F3866">
        <w:t>R4-2119534</w:t>
      </w:r>
      <w:r>
        <w:t xml:space="preserve">, </w:t>
      </w:r>
      <w:r w:rsidRPr="00AE0993">
        <w:t xml:space="preserve">On </w:t>
      </w:r>
      <w:proofErr w:type="spellStart"/>
      <w:r w:rsidRPr="00AE0993">
        <w:t>Pcmax</w:t>
      </w:r>
      <w:proofErr w:type="spellEnd"/>
      <w:r w:rsidRPr="00AE0993">
        <w:t xml:space="preserve"> for intra-band concurrent operation</w:t>
      </w:r>
      <w:r>
        <w:t>, Huawei, HiSilicon</w:t>
      </w:r>
    </w:p>
    <w:p w:rsidR="00E8001B" w:rsidRDefault="00E8001B" w:rsidP="00F71A33">
      <w:r>
        <w:t xml:space="preserve">[2] </w:t>
      </w:r>
      <w:r w:rsidR="001F3866" w:rsidRPr="001F3866">
        <w:t>R4-2119533</w:t>
      </w:r>
      <w:bookmarkStart w:id="2" w:name="_GoBack"/>
      <w:bookmarkEnd w:id="2"/>
      <w:r>
        <w:t>, draft LS on new power class 2 capability for NR-V2X</w:t>
      </w:r>
      <w:r w:rsidR="00BE68FD">
        <w:t>, Huawei, HiSilicon</w:t>
      </w:r>
    </w:p>
    <w:sectPr w:rsidR="00E8001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814" w:rsidRDefault="003D3814" w:rsidP="0052762B">
      <w:r>
        <w:separator/>
      </w:r>
    </w:p>
  </w:endnote>
  <w:endnote w:type="continuationSeparator" w:id="0">
    <w:p w:rsidR="003D3814" w:rsidRDefault="003D381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roman"/>
    <w:notTrueType/>
    <w:pitch w:val="default"/>
  </w:font>
  <w:font w:name="Tahoma">
    <w:panose1 w:val="020B0604030504040204"/>
    <w:charset w:val="00"/>
    <w:family w:val="roman"/>
    <w:notTrueType/>
    <w:pitch w:val="default"/>
  </w:font>
  <w:font w:name="–¾’©">
    <w:panose1 w:val="00000000000000000000"/>
    <w:charset w:val="00"/>
    <w:family w:val="roman"/>
    <w:notTrueType/>
    <w:pitch w:val="default"/>
  </w:font>
  <w:font w:name="Osak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814" w:rsidRDefault="003D3814" w:rsidP="0052762B">
      <w:r>
        <w:separator/>
      </w:r>
    </w:p>
  </w:footnote>
  <w:footnote w:type="continuationSeparator" w:id="0">
    <w:p w:rsidR="003D3814" w:rsidRDefault="003D381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BE735A"/>
    <w:multiLevelType w:val="hybridMultilevel"/>
    <w:tmpl w:val="241490B2"/>
    <w:lvl w:ilvl="0" w:tplc="731C6ECE">
      <w:start w:val="1"/>
      <w:numFmt w:val="bullet"/>
      <w:lvlText w:val="•"/>
      <w:lvlJc w:val="left"/>
      <w:pPr>
        <w:tabs>
          <w:tab w:val="num" w:pos="720"/>
        </w:tabs>
        <w:ind w:left="720" w:hanging="360"/>
      </w:pPr>
      <w:rPr>
        <w:rFonts w:ascii="Arial" w:hAnsi="Arial" w:hint="default"/>
      </w:rPr>
    </w:lvl>
    <w:lvl w:ilvl="1" w:tplc="3228934E">
      <w:start w:val="1"/>
      <w:numFmt w:val="bullet"/>
      <w:lvlText w:val="•"/>
      <w:lvlJc w:val="left"/>
      <w:pPr>
        <w:tabs>
          <w:tab w:val="num" w:pos="1440"/>
        </w:tabs>
        <w:ind w:left="1440" w:hanging="360"/>
      </w:pPr>
      <w:rPr>
        <w:rFonts w:ascii="Arial" w:hAnsi="Arial" w:hint="default"/>
      </w:rPr>
    </w:lvl>
    <w:lvl w:ilvl="2" w:tplc="B1A80C08" w:tentative="1">
      <w:start w:val="1"/>
      <w:numFmt w:val="bullet"/>
      <w:lvlText w:val="•"/>
      <w:lvlJc w:val="left"/>
      <w:pPr>
        <w:tabs>
          <w:tab w:val="num" w:pos="2160"/>
        </w:tabs>
        <w:ind w:left="2160" w:hanging="360"/>
      </w:pPr>
      <w:rPr>
        <w:rFonts w:ascii="Arial" w:hAnsi="Arial" w:hint="default"/>
      </w:rPr>
    </w:lvl>
    <w:lvl w:ilvl="3" w:tplc="F33AC302" w:tentative="1">
      <w:start w:val="1"/>
      <w:numFmt w:val="bullet"/>
      <w:lvlText w:val="•"/>
      <w:lvlJc w:val="left"/>
      <w:pPr>
        <w:tabs>
          <w:tab w:val="num" w:pos="2880"/>
        </w:tabs>
        <w:ind w:left="2880" w:hanging="360"/>
      </w:pPr>
      <w:rPr>
        <w:rFonts w:ascii="Arial" w:hAnsi="Arial" w:hint="default"/>
      </w:rPr>
    </w:lvl>
    <w:lvl w:ilvl="4" w:tplc="B2261384" w:tentative="1">
      <w:start w:val="1"/>
      <w:numFmt w:val="bullet"/>
      <w:lvlText w:val="•"/>
      <w:lvlJc w:val="left"/>
      <w:pPr>
        <w:tabs>
          <w:tab w:val="num" w:pos="3600"/>
        </w:tabs>
        <w:ind w:left="3600" w:hanging="360"/>
      </w:pPr>
      <w:rPr>
        <w:rFonts w:ascii="Arial" w:hAnsi="Arial" w:hint="default"/>
      </w:rPr>
    </w:lvl>
    <w:lvl w:ilvl="5" w:tplc="23F86888" w:tentative="1">
      <w:start w:val="1"/>
      <w:numFmt w:val="bullet"/>
      <w:lvlText w:val="•"/>
      <w:lvlJc w:val="left"/>
      <w:pPr>
        <w:tabs>
          <w:tab w:val="num" w:pos="4320"/>
        </w:tabs>
        <w:ind w:left="4320" w:hanging="360"/>
      </w:pPr>
      <w:rPr>
        <w:rFonts w:ascii="Arial" w:hAnsi="Arial" w:hint="default"/>
      </w:rPr>
    </w:lvl>
    <w:lvl w:ilvl="6" w:tplc="8CFC2C26" w:tentative="1">
      <w:start w:val="1"/>
      <w:numFmt w:val="bullet"/>
      <w:lvlText w:val="•"/>
      <w:lvlJc w:val="left"/>
      <w:pPr>
        <w:tabs>
          <w:tab w:val="num" w:pos="5040"/>
        </w:tabs>
        <w:ind w:left="5040" w:hanging="360"/>
      </w:pPr>
      <w:rPr>
        <w:rFonts w:ascii="Arial" w:hAnsi="Arial" w:hint="default"/>
      </w:rPr>
    </w:lvl>
    <w:lvl w:ilvl="7" w:tplc="15A262EC" w:tentative="1">
      <w:start w:val="1"/>
      <w:numFmt w:val="bullet"/>
      <w:lvlText w:val="•"/>
      <w:lvlJc w:val="left"/>
      <w:pPr>
        <w:tabs>
          <w:tab w:val="num" w:pos="5760"/>
        </w:tabs>
        <w:ind w:left="5760" w:hanging="360"/>
      </w:pPr>
      <w:rPr>
        <w:rFonts w:ascii="Arial" w:hAnsi="Arial" w:hint="default"/>
      </w:rPr>
    </w:lvl>
    <w:lvl w:ilvl="8" w:tplc="6F20C2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E0654"/>
    <w:multiLevelType w:val="hybridMultilevel"/>
    <w:tmpl w:val="D514DCAC"/>
    <w:lvl w:ilvl="0" w:tplc="7564D6FC">
      <w:start w:val="1"/>
      <w:numFmt w:val="bullet"/>
      <w:lvlText w:val="•"/>
      <w:lvlJc w:val="left"/>
      <w:pPr>
        <w:tabs>
          <w:tab w:val="num" w:pos="720"/>
        </w:tabs>
        <w:ind w:left="720" w:hanging="360"/>
      </w:pPr>
      <w:rPr>
        <w:rFonts w:ascii="Arial" w:hAnsi="Arial" w:hint="default"/>
      </w:rPr>
    </w:lvl>
    <w:lvl w:ilvl="1" w:tplc="0A12C47A">
      <w:numFmt w:val="bullet"/>
      <w:lvlText w:val="-"/>
      <w:lvlJc w:val="left"/>
      <w:pPr>
        <w:tabs>
          <w:tab w:val="num" w:pos="1440"/>
        </w:tabs>
        <w:ind w:left="1440" w:hanging="360"/>
      </w:pPr>
      <w:rPr>
        <w:rFonts w:ascii="Calibri" w:hAnsi="Calibri" w:hint="default"/>
      </w:rPr>
    </w:lvl>
    <w:lvl w:ilvl="2" w:tplc="33D267EA" w:tentative="1">
      <w:start w:val="1"/>
      <w:numFmt w:val="bullet"/>
      <w:lvlText w:val="•"/>
      <w:lvlJc w:val="left"/>
      <w:pPr>
        <w:tabs>
          <w:tab w:val="num" w:pos="2160"/>
        </w:tabs>
        <w:ind w:left="2160" w:hanging="360"/>
      </w:pPr>
      <w:rPr>
        <w:rFonts w:ascii="Arial" w:hAnsi="Arial" w:hint="default"/>
      </w:rPr>
    </w:lvl>
    <w:lvl w:ilvl="3" w:tplc="FA48306E" w:tentative="1">
      <w:start w:val="1"/>
      <w:numFmt w:val="bullet"/>
      <w:lvlText w:val="•"/>
      <w:lvlJc w:val="left"/>
      <w:pPr>
        <w:tabs>
          <w:tab w:val="num" w:pos="2880"/>
        </w:tabs>
        <w:ind w:left="2880" w:hanging="360"/>
      </w:pPr>
      <w:rPr>
        <w:rFonts w:ascii="Arial" w:hAnsi="Arial" w:hint="default"/>
      </w:rPr>
    </w:lvl>
    <w:lvl w:ilvl="4" w:tplc="51FC8460" w:tentative="1">
      <w:start w:val="1"/>
      <w:numFmt w:val="bullet"/>
      <w:lvlText w:val="•"/>
      <w:lvlJc w:val="left"/>
      <w:pPr>
        <w:tabs>
          <w:tab w:val="num" w:pos="3600"/>
        </w:tabs>
        <w:ind w:left="3600" w:hanging="360"/>
      </w:pPr>
      <w:rPr>
        <w:rFonts w:ascii="Arial" w:hAnsi="Arial" w:hint="default"/>
      </w:rPr>
    </w:lvl>
    <w:lvl w:ilvl="5" w:tplc="E82C77D4" w:tentative="1">
      <w:start w:val="1"/>
      <w:numFmt w:val="bullet"/>
      <w:lvlText w:val="•"/>
      <w:lvlJc w:val="left"/>
      <w:pPr>
        <w:tabs>
          <w:tab w:val="num" w:pos="4320"/>
        </w:tabs>
        <w:ind w:left="4320" w:hanging="360"/>
      </w:pPr>
      <w:rPr>
        <w:rFonts w:ascii="Arial" w:hAnsi="Arial" w:hint="default"/>
      </w:rPr>
    </w:lvl>
    <w:lvl w:ilvl="6" w:tplc="8C18DADE" w:tentative="1">
      <w:start w:val="1"/>
      <w:numFmt w:val="bullet"/>
      <w:lvlText w:val="•"/>
      <w:lvlJc w:val="left"/>
      <w:pPr>
        <w:tabs>
          <w:tab w:val="num" w:pos="5040"/>
        </w:tabs>
        <w:ind w:left="5040" w:hanging="360"/>
      </w:pPr>
      <w:rPr>
        <w:rFonts w:ascii="Arial" w:hAnsi="Arial" w:hint="default"/>
      </w:rPr>
    </w:lvl>
    <w:lvl w:ilvl="7" w:tplc="F5E4E5F8" w:tentative="1">
      <w:start w:val="1"/>
      <w:numFmt w:val="bullet"/>
      <w:lvlText w:val="•"/>
      <w:lvlJc w:val="left"/>
      <w:pPr>
        <w:tabs>
          <w:tab w:val="num" w:pos="5760"/>
        </w:tabs>
        <w:ind w:left="5760" w:hanging="360"/>
      </w:pPr>
      <w:rPr>
        <w:rFonts w:ascii="Arial" w:hAnsi="Arial" w:hint="default"/>
      </w:rPr>
    </w:lvl>
    <w:lvl w:ilvl="8" w:tplc="0DD401C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8"/>
  </w:num>
  <w:num w:numId="4">
    <w:abstractNumId w:val="38"/>
  </w:num>
  <w:num w:numId="5">
    <w:abstractNumId w:val="1"/>
  </w:num>
  <w:num w:numId="6">
    <w:abstractNumId w:val="37"/>
  </w:num>
  <w:num w:numId="7">
    <w:abstractNumId w:val="18"/>
  </w:num>
  <w:num w:numId="8">
    <w:abstractNumId w:val="31"/>
  </w:num>
  <w:num w:numId="9">
    <w:abstractNumId w:val="40"/>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7"/>
  </w:num>
  <w:num w:numId="20">
    <w:abstractNumId w:val="24"/>
  </w:num>
  <w:num w:numId="21">
    <w:abstractNumId w:val="15"/>
  </w:num>
  <w:num w:numId="22">
    <w:abstractNumId w:val="5"/>
  </w:num>
  <w:num w:numId="23">
    <w:abstractNumId w:val="23"/>
  </w:num>
  <w:num w:numId="24">
    <w:abstractNumId w:val="36"/>
  </w:num>
  <w:num w:numId="25">
    <w:abstractNumId w:val="9"/>
  </w:num>
  <w:num w:numId="26">
    <w:abstractNumId w:val="35"/>
  </w:num>
  <w:num w:numId="27">
    <w:abstractNumId w:val="34"/>
  </w:num>
  <w:num w:numId="28">
    <w:abstractNumId w:val="19"/>
  </w:num>
  <w:num w:numId="29">
    <w:abstractNumId w:val="39"/>
  </w:num>
  <w:num w:numId="30">
    <w:abstractNumId w:val="29"/>
  </w:num>
  <w:num w:numId="31">
    <w:abstractNumId w:val="17"/>
  </w:num>
  <w:num w:numId="32">
    <w:abstractNumId w:val="32"/>
  </w:num>
  <w:num w:numId="33">
    <w:abstractNumId w:val="6"/>
  </w:num>
  <w:num w:numId="34">
    <w:abstractNumId w:val="10"/>
  </w:num>
  <w:num w:numId="35">
    <w:abstractNumId w:val="33"/>
  </w:num>
  <w:num w:numId="36">
    <w:abstractNumId w:val="20"/>
  </w:num>
  <w:num w:numId="37">
    <w:abstractNumId w:val="8"/>
  </w:num>
  <w:num w:numId="38">
    <w:abstractNumId w:val="30"/>
  </w:num>
  <w:num w:numId="39">
    <w:abstractNumId w:val="3"/>
  </w:num>
  <w:num w:numId="40">
    <w:abstractNumId w:val="26"/>
  </w:num>
  <w:num w:numId="41">
    <w:abstractNumId w:val="16"/>
  </w:num>
  <w:num w:numId="42">
    <w:abstractNumId w:val="14"/>
  </w:num>
  <w:num w:numId="43">
    <w:abstractNumId w:val="25"/>
  </w:num>
  <w:num w:numId="4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76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866"/>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17DC4"/>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3C"/>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814"/>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52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648"/>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3AC0"/>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E78FE"/>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BE6"/>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EF4"/>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EB3"/>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83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DCA"/>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ABD"/>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A5"/>
    <w:rsid w:val="00A459F4"/>
    <w:rsid w:val="00A45BD4"/>
    <w:rsid w:val="00A46545"/>
    <w:rsid w:val="00A46652"/>
    <w:rsid w:val="00A46C45"/>
    <w:rsid w:val="00A46CE4"/>
    <w:rsid w:val="00A474BA"/>
    <w:rsid w:val="00A4764D"/>
    <w:rsid w:val="00A47897"/>
    <w:rsid w:val="00A47926"/>
    <w:rsid w:val="00A47B1B"/>
    <w:rsid w:val="00A47F57"/>
    <w:rsid w:val="00A50141"/>
    <w:rsid w:val="00A50373"/>
    <w:rsid w:val="00A503C5"/>
    <w:rsid w:val="00A50486"/>
    <w:rsid w:val="00A50530"/>
    <w:rsid w:val="00A51194"/>
    <w:rsid w:val="00A5144B"/>
    <w:rsid w:val="00A51781"/>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A7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4EE"/>
    <w:rsid w:val="00AD3782"/>
    <w:rsid w:val="00AD3819"/>
    <w:rsid w:val="00AD39D7"/>
    <w:rsid w:val="00AD4188"/>
    <w:rsid w:val="00AD5364"/>
    <w:rsid w:val="00AD57DD"/>
    <w:rsid w:val="00AD6249"/>
    <w:rsid w:val="00AD66AB"/>
    <w:rsid w:val="00AD6743"/>
    <w:rsid w:val="00AD6795"/>
    <w:rsid w:val="00AD71F7"/>
    <w:rsid w:val="00AD7C23"/>
    <w:rsid w:val="00AE0882"/>
    <w:rsid w:val="00AE0993"/>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3B5"/>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8FD"/>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211"/>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3E6B"/>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746"/>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01B"/>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8EB"/>
    <w:rsid w:val="00F66992"/>
    <w:rsid w:val="00F672BB"/>
    <w:rsid w:val="00F67472"/>
    <w:rsid w:val="00F678A9"/>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170"/>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BE6"/>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PLChar">
    <w:name w:val="PL Char"/>
    <w:link w:val="PL"/>
    <w:rsid w:val="00AD34EE"/>
    <w:rPr>
      <w:rFonts w:ascii="Courier New" w:eastAsia="Times New Roman" w:hAnsi="Courier New"/>
      <w:noProof/>
      <w:sz w:val="16"/>
      <w:lang w:val="en-GB" w:eastAsia="en-US"/>
    </w:rPr>
  </w:style>
  <w:style w:type="character" w:customStyle="1" w:styleId="EQChar">
    <w:name w:val="EQ Char"/>
    <w:link w:val="EQ"/>
    <w:qFormat/>
    <w:rsid w:val="00473AC0"/>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3983286">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24605996">
      <w:bodyDiv w:val="1"/>
      <w:marLeft w:val="0"/>
      <w:marRight w:val="0"/>
      <w:marTop w:val="0"/>
      <w:marBottom w:val="0"/>
      <w:divBdr>
        <w:top w:val="none" w:sz="0" w:space="0" w:color="auto"/>
        <w:left w:val="none" w:sz="0" w:space="0" w:color="auto"/>
        <w:bottom w:val="none" w:sz="0" w:space="0" w:color="auto"/>
        <w:right w:val="none" w:sz="0" w:space="0" w:color="auto"/>
      </w:divBdr>
      <w:divsChild>
        <w:div w:id="1845978115">
          <w:marLeft w:val="1080"/>
          <w:marRight w:val="0"/>
          <w:marTop w:val="100"/>
          <w:marBottom w:val="0"/>
          <w:divBdr>
            <w:top w:val="none" w:sz="0" w:space="0" w:color="auto"/>
            <w:left w:val="none" w:sz="0" w:space="0" w:color="auto"/>
            <w:bottom w:val="none" w:sz="0" w:space="0" w:color="auto"/>
            <w:right w:val="none" w:sz="0" w:space="0" w:color="auto"/>
          </w:divBdr>
        </w:div>
        <w:div w:id="1819884215">
          <w:marLeft w:val="1080"/>
          <w:marRight w:val="0"/>
          <w:marTop w:val="100"/>
          <w:marBottom w:val="0"/>
          <w:divBdr>
            <w:top w:val="none" w:sz="0" w:space="0" w:color="auto"/>
            <w:left w:val="none" w:sz="0" w:space="0" w:color="auto"/>
            <w:bottom w:val="none" w:sz="0" w:space="0" w:color="auto"/>
            <w:right w:val="none" w:sz="0" w:space="0" w:color="auto"/>
          </w:divBdr>
        </w:div>
        <w:div w:id="544173499">
          <w:marLeft w:val="1080"/>
          <w:marRight w:val="0"/>
          <w:marTop w:val="100"/>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7295660">
      <w:bodyDiv w:val="1"/>
      <w:marLeft w:val="0"/>
      <w:marRight w:val="0"/>
      <w:marTop w:val="0"/>
      <w:marBottom w:val="0"/>
      <w:divBdr>
        <w:top w:val="none" w:sz="0" w:space="0" w:color="auto"/>
        <w:left w:val="none" w:sz="0" w:space="0" w:color="auto"/>
        <w:bottom w:val="none" w:sz="0" w:space="0" w:color="auto"/>
        <w:right w:val="none" w:sz="0" w:space="0" w:color="auto"/>
      </w:divBdr>
      <w:divsChild>
        <w:div w:id="242758657">
          <w:marLeft w:val="360"/>
          <w:marRight w:val="0"/>
          <w:marTop w:val="200"/>
          <w:marBottom w:val="0"/>
          <w:divBdr>
            <w:top w:val="none" w:sz="0" w:space="0" w:color="auto"/>
            <w:left w:val="none" w:sz="0" w:space="0" w:color="auto"/>
            <w:bottom w:val="none" w:sz="0" w:space="0" w:color="auto"/>
            <w:right w:val="none" w:sz="0" w:space="0" w:color="auto"/>
          </w:divBdr>
        </w:div>
        <w:div w:id="420954116">
          <w:marLeft w:val="360"/>
          <w:marRight w:val="0"/>
          <w:marTop w:val="200"/>
          <w:marBottom w:val="0"/>
          <w:divBdr>
            <w:top w:val="none" w:sz="0" w:space="0" w:color="auto"/>
            <w:left w:val="none" w:sz="0" w:space="0" w:color="auto"/>
            <w:bottom w:val="none" w:sz="0" w:space="0" w:color="auto"/>
            <w:right w:val="none" w:sz="0" w:space="0" w:color="auto"/>
          </w:divBdr>
        </w:div>
        <w:div w:id="1767188243">
          <w:marLeft w:val="1080"/>
          <w:marRight w:val="0"/>
          <w:marTop w:val="100"/>
          <w:marBottom w:val="0"/>
          <w:divBdr>
            <w:top w:val="none" w:sz="0" w:space="0" w:color="auto"/>
            <w:left w:val="none" w:sz="0" w:space="0" w:color="auto"/>
            <w:bottom w:val="none" w:sz="0" w:space="0" w:color="auto"/>
            <w:right w:val="none" w:sz="0" w:space="0" w:color="auto"/>
          </w:divBdr>
        </w:div>
        <w:div w:id="2037922699">
          <w:marLeft w:val="1080"/>
          <w:marRight w:val="0"/>
          <w:marTop w:val="100"/>
          <w:marBottom w:val="0"/>
          <w:divBdr>
            <w:top w:val="none" w:sz="0" w:space="0" w:color="auto"/>
            <w:left w:val="none" w:sz="0" w:space="0" w:color="auto"/>
            <w:bottom w:val="none" w:sz="0" w:space="0" w:color="auto"/>
            <w:right w:val="none" w:sz="0" w:space="0" w:color="auto"/>
          </w:divBdr>
        </w:div>
      </w:divsChild>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DE91B-6E03-4F75-9533-015E7CCB0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TotalTime>
  <Pages>2</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4780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2010-01-07T02:23:00Z</cp:lastPrinted>
  <dcterms:created xsi:type="dcterms:W3CDTF">2021-10-19T13:16:00Z</dcterms:created>
  <dcterms:modified xsi:type="dcterms:W3CDTF">2021-10-22T22:29:00Z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(3)aJhZ2MdVZzF59HPoyCwUYgcun3gJFlGg8amTpbSMwiqbX1I6nEhSQDXIbBh1xMsou1Jj3pPz
MghtIPVsxyBPKpXosS3keP7xW/Q6flDKuzzBiKWN4p5OGuNQEAMi5u4V0XFfzoX/ZCOp3X79
LE99UqYS4VYz4IS7zVrfEqMxHZHZ8kZYs7QCmJtlb8PCn4Pg2tAdZ3fX998ZwP4WAFt7nXjC
q0lYmJzRuzozcCCaMO</vt:lpwstr>
  </property>
  <property fmtid="{D5CDD505-2E9C-101B-9397-08002B2CF9AE}" pid="15" name="_2015_ms_pID_725343_00">
    <vt:lpwstr>_2015_ms_pID_725343</vt:lpwstr>
  </property>
  <property fmtid="{D5CDD505-2E9C-101B-9397-08002B2CF9AE}" pid="16" name="_2015_ms_pID_7253431">
    <vt:lpwstr>5+5gayQTp2lXYpk8WjHhnFuZVoS1qnfZJ8V4NsNgQLSNTT/nlKhxcm
V7O6BFM6bMK7GEnsjspm4RBWCpdjJGTq0ynmrSNCWo3KToj8CNjp//MegUfJ9EEVzRFV91y2
DAxMUn0zPhYJ8KGRWzPXxaXCN1RBQ4fjn/QHEVnlSrt15xJXRKzJypNAP3bJpH0yE6ZwWHOi
niWf9wNdRQbfzekxHdLxvZMTknlhBO8xoRzu</vt:lpwstr>
  </property>
  <property fmtid="{D5CDD505-2E9C-101B-9397-08002B2CF9AE}" pid="17" name="_2015_ms_pID_7253431_00">
    <vt:lpwstr>_2015_ms_pID_7253431</vt:lpwstr>
  </property>
  <property fmtid="{D5CDD505-2E9C-101B-9397-08002B2CF9AE}" pid="18" name="_2015_ms_pID_7253432">
    <vt:lpwstr>yh1Vd/aBdjLAg7yf9vARluM=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